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F59B3" w14:textId="522613A3" w:rsidR="0044018F" w:rsidRPr="0044018F" w:rsidRDefault="0044018F" w:rsidP="0044018F">
      <w:pPr>
        <w:jc w:val="center"/>
        <w:rPr>
          <w:b/>
          <w:bCs/>
        </w:rPr>
      </w:pPr>
      <w:r>
        <w:rPr>
          <w:b/>
          <w:bCs/>
        </w:rPr>
        <w:t>DEPOSITION INDEX OF PETER KOHANSKI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4018F" w14:paraId="09BCCBC2" w14:textId="77777777" w:rsidTr="0044018F">
        <w:tc>
          <w:tcPr>
            <w:tcW w:w="3116" w:type="dxa"/>
          </w:tcPr>
          <w:p w14:paraId="2573D921" w14:textId="77777777" w:rsidR="0044018F" w:rsidRDefault="0044018F"/>
        </w:tc>
        <w:tc>
          <w:tcPr>
            <w:tcW w:w="3117" w:type="dxa"/>
          </w:tcPr>
          <w:p w14:paraId="685D8D58" w14:textId="4D2D7410" w:rsidR="0044018F" w:rsidRDefault="005E0DA3">
            <w:r>
              <w:t xml:space="preserve">Mr. </w:t>
            </w:r>
            <w:proofErr w:type="spellStart"/>
            <w:r>
              <w:t>Kohanski</w:t>
            </w:r>
            <w:proofErr w:type="spellEnd"/>
            <w:r>
              <w:t xml:space="preserve"> is not a party, but the State (</w:t>
            </w:r>
            <w:proofErr w:type="spellStart"/>
            <w:r>
              <w:t>Bhouslav</w:t>
            </w:r>
            <w:proofErr w:type="spellEnd"/>
            <w:r>
              <w:t>) has stepped in to represent him.</w:t>
            </w:r>
          </w:p>
        </w:tc>
        <w:tc>
          <w:tcPr>
            <w:tcW w:w="3117" w:type="dxa"/>
          </w:tcPr>
          <w:p w14:paraId="6804584F" w14:textId="1BF20FF7" w:rsidR="0044018F" w:rsidRDefault="005E0DA3">
            <w:r>
              <w:t>4:19-24</w:t>
            </w:r>
          </w:p>
        </w:tc>
      </w:tr>
      <w:tr w:rsidR="0044018F" w14:paraId="6CB4D4CA" w14:textId="77777777" w:rsidTr="0044018F">
        <w:tc>
          <w:tcPr>
            <w:tcW w:w="3116" w:type="dxa"/>
          </w:tcPr>
          <w:p w14:paraId="2AE18B06" w14:textId="77777777" w:rsidR="0044018F" w:rsidRDefault="0044018F"/>
        </w:tc>
        <w:tc>
          <w:tcPr>
            <w:tcW w:w="3117" w:type="dxa"/>
          </w:tcPr>
          <w:p w14:paraId="299F2BD7" w14:textId="2A033E60" w:rsidR="0044018F" w:rsidRDefault="005E0DA3">
            <w:proofErr w:type="spellStart"/>
            <w:r>
              <w:t>Kohanski</w:t>
            </w:r>
            <w:proofErr w:type="spellEnd"/>
            <w:r>
              <w:t xml:space="preserve"> is taking Zoloft for depression.</w:t>
            </w:r>
          </w:p>
        </w:tc>
        <w:tc>
          <w:tcPr>
            <w:tcW w:w="3117" w:type="dxa"/>
          </w:tcPr>
          <w:p w14:paraId="5A619598" w14:textId="689EB685" w:rsidR="0044018F" w:rsidRDefault="005E0DA3">
            <w:r>
              <w:t>7:7-25</w:t>
            </w:r>
          </w:p>
        </w:tc>
      </w:tr>
      <w:tr w:rsidR="0044018F" w14:paraId="446FF810" w14:textId="77777777" w:rsidTr="0044018F">
        <w:tc>
          <w:tcPr>
            <w:tcW w:w="3116" w:type="dxa"/>
          </w:tcPr>
          <w:p w14:paraId="70542AC9" w14:textId="77777777" w:rsidR="0044018F" w:rsidRDefault="0044018F"/>
        </w:tc>
        <w:tc>
          <w:tcPr>
            <w:tcW w:w="3117" w:type="dxa"/>
          </w:tcPr>
          <w:p w14:paraId="67FA6651" w14:textId="211017D8" w:rsidR="0044018F" w:rsidRDefault="005E0DA3">
            <w:proofErr w:type="spellStart"/>
            <w:r>
              <w:t>Kohanski</w:t>
            </w:r>
            <w:proofErr w:type="spellEnd"/>
            <w:r>
              <w:t xml:space="preserve"> never posted on Instagram re this issue.  </w:t>
            </w:r>
          </w:p>
        </w:tc>
        <w:tc>
          <w:tcPr>
            <w:tcW w:w="3117" w:type="dxa"/>
          </w:tcPr>
          <w:p w14:paraId="0C3410AA" w14:textId="52C427F4" w:rsidR="0044018F" w:rsidRDefault="005E0DA3">
            <w:r>
              <w:t>9:20</w:t>
            </w:r>
            <w:r w:rsidR="00536DCF">
              <w:t>-24</w:t>
            </w:r>
          </w:p>
        </w:tc>
      </w:tr>
      <w:tr w:rsidR="0044018F" w14:paraId="2ACB2439" w14:textId="77777777" w:rsidTr="0044018F">
        <w:tc>
          <w:tcPr>
            <w:tcW w:w="3116" w:type="dxa"/>
          </w:tcPr>
          <w:p w14:paraId="168C6165" w14:textId="77777777" w:rsidR="0044018F" w:rsidRDefault="0044018F"/>
        </w:tc>
        <w:tc>
          <w:tcPr>
            <w:tcW w:w="3117" w:type="dxa"/>
          </w:tcPr>
          <w:p w14:paraId="22812288" w14:textId="08C42C00" w:rsidR="0044018F" w:rsidRDefault="005E0DA3">
            <w:proofErr w:type="spellStart"/>
            <w:r>
              <w:t>Kohanski</w:t>
            </w:r>
            <w:proofErr w:type="spellEnd"/>
            <w:r>
              <w:t xml:space="preserve"> is also represented, in a limited capacity, by the General Counsel’s office of the University of Texas; specifically, Renaldo Stowers.</w:t>
            </w:r>
          </w:p>
        </w:tc>
        <w:tc>
          <w:tcPr>
            <w:tcW w:w="3117" w:type="dxa"/>
          </w:tcPr>
          <w:p w14:paraId="4F166FC8" w14:textId="5445F1CF" w:rsidR="0044018F" w:rsidRDefault="005E0DA3">
            <w:r>
              <w:t>11:11-15</w:t>
            </w:r>
          </w:p>
        </w:tc>
      </w:tr>
      <w:tr w:rsidR="0044018F" w14:paraId="32F5B71C" w14:textId="77777777" w:rsidTr="0044018F">
        <w:tc>
          <w:tcPr>
            <w:tcW w:w="3116" w:type="dxa"/>
          </w:tcPr>
          <w:p w14:paraId="4E396D02" w14:textId="77777777" w:rsidR="0044018F" w:rsidRDefault="0044018F"/>
        </w:tc>
        <w:tc>
          <w:tcPr>
            <w:tcW w:w="3117" w:type="dxa"/>
          </w:tcPr>
          <w:p w14:paraId="0C17B873" w14:textId="1E9E5855" w:rsidR="0044018F" w:rsidRDefault="005E0DA3">
            <w:r>
              <w:t>Discussed collection of responsive documents with immediate family in addition to counsel.</w:t>
            </w:r>
          </w:p>
        </w:tc>
        <w:tc>
          <w:tcPr>
            <w:tcW w:w="3117" w:type="dxa"/>
          </w:tcPr>
          <w:p w14:paraId="050BDBA3" w14:textId="1DCD723F" w:rsidR="0044018F" w:rsidRDefault="005E0DA3">
            <w:r>
              <w:t>11:16 – 13:24</w:t>
            </w:r>
          </w:p>
        </w:tc>
      </w:tr>
      <w:tr w:rsidR="0044018F" w14:paraId="0B6C3EBC" w14:textId="77777777" w:rsidTr="0044018F">
        <w:tc>
          <w:tcPr>
            <w:tcW w:w="3116" w:type="dxa"/>
          </w:tcPr>
          <w:p w14:paraId="177E7E2C" w14:textId="77777777" w:rsidR="0044018F" w:rsidRDefault="0044018F"/>
        </w:tc>
        <w:tc>
          <w:tcPr>
            <w:tcW w:w="3117" w:type="dxa"/>
          </w:tcPr>
          <w:p w14:paraId="6ABB1F05" w14:textId="29AD3EBC" w:rsidR="0044018F" w:rsidRDefault="005E0DA3">
            <w:proofErr w:type="spellStart"/>
            <w:r>
              <w:t>Kohanski’s</w:t>
            </w:r>
            <w:proofErr w:type="spellEnd"/>
            <w:r>
              <w:t xml:space="preserve"> relationship to UNT, current field of study, level of study, </w:t>
            </w:r>
            <w:r w:rsidR="00A02757">
              <w:t xml:space="preserve">coursework, </w:t>
            </w:r>
            <w:r>
              <w:t>and educational background</w:t>
            </w:r>
          </w:p>
        </w:tc>
        <w:tc>
          <w:tcPr>
            <w:tcW w:w="3117" w:type="dxa"/>
          </w:tcPr>
          <w:p w14:paraId="27A1F622" w14:textId="29A44AA7" w:rsidR="0044018F" w:rsidRDefault="00A02757">
            <w:r>
              <w:t>14:4 – 18:1</w:t>
            </w:r>
          </w:p>
        </w:tc>
      </w:tr>
      <w:tr w:rsidR="0044018F" w14:paraId="364178BA" w14:textId="77777777" w:rsidTr="0044018F">
        <w:tc>
          <w:tcPr>
            <w:tcW w:w="3116" w:type="dxa"/>
          </w:tcPr>
          <w:p w14:paraId="52AF779B" w14:textId="77777777" w:rsidR="0044018F" w:rsidRDefault="0044018F"/>
        </w:tc>
        <w:tc>
          <w:tcPr>
            <w:tcW w:w="3117" w:type="dxa"/>
          </w:tcPr>
          <w:p w14:paraId="308C4FD3" w14:textId="6B403006" w:rsidR="0044018F" w:rsidRDefault="00A02757">
            <w:r>
              <w:t xml:space="preserve">Exhibit 2 and </w:t>
            </w:r>
            <w:proofErr w:type="spellStart"/>
            <w:r>
              <w:t>Kohanski’s</w:t>
            </w:r>
            <w:proofErr w:type="spellEnd"/>
            <w:r>
              <w:t xml:space="preserve"> composition of  “Dear Colleagues” correspondence.</w:t>
            </w:r>
          </w:p>
        </w:tc>
        <w:tc>
          <w:tcPr>
            <w:tcW w:w="3117" w:type="dxa"/>
          </w:tcPr>
          <w:p w14:paraId="11DF1551" w14:textId="629519D4" w:rsidR="0044018F" w:rsidRDefault="00A02757">
            <w:r>
              <w:t>18:6-18:12</w:t>
            </w:r>
          </w:p>
        </w:tc>
      </w:tr>
      <w:tr w:rsidR="00A02757" w14:paraId="441DE046" w14:textId="77777777" w:rsidTr="00B556A8">
        <w:tc>
          <w:tcPr>
            <w:tcW w:w="3116" w:type="dxa"/>
          </w:tcPr>
          <w:p w14:paraId="511CA8BC" w14:textId="77777777" w:rsidR="00A02757" w:rsidRDefault="00A02757" w:rsidP="00B556A8"/>
        </w:tc>
        <w:tc>
          <w:tcPr>
            <w:tcW w:w="3117" w:type="dxa"/>
          </w:tcPr>
          <w:p w14:paraId="53820AC3" w14:textId="7A359D97" w:rsidR="00A02757" w:rsidRDefault="00A02757" w:rsidP="00B556A8">
            <w:r>
              <w:t xml:space="preserve">Correspondence was sent to approximately 40 graduate students in the division of MHD at UNT and how their contact information was obtained for the purpose of soliciting signatures. </w:t>
            </w:r>
          </w:p>
        </w:tc>
        <w:tc>
          <w:tcPr>
            <w:tcW w:w="3117" w:type="dxa"/>
          </w:tcPr>
          <w:p w14:paraId="3EE3CC35" w14:textId="65100FD6" w:rsidR="00A02757" w:rsidRDefault="00E94EC2" w:rsidP="00B556A8">
            <w:r>
              <w:softHyphen/>
              <w:t>18:13-19:15</w:t>
            </w:r>
          </w:p>
        </w:tc>
      </w:tr>
      <w:tr w:rsidR="00A02757" w14:paraId="188C12B7" w14:textId="77777777" w:rsidTr="00B556A8">
        <w:tc>
          <w:tcPr>
            <w:tcW w:w="3116" w:type="dxa"/>
          </w:tcPr>
          <w:p w14:paraId="4931C129" w14:textId="77777777" w:rsidR="00A02757" w:rsidRDefault="00A02757" w:rsidP="00B556A8"/>
        </w:tc>
        <w:tc>
          <w:tcPr>
            <w:tcW w:w="3117" w:type="dxa"/>
          </w:tcPr>
          <w:p w14:paraId="14CC12AC" w14:textId="0DF4465E" w:rsidR="00A02757" w:rsidRDefault="00E94EC2" w:rsidP="00B556A8">
            <w:proofErr w:type="spellStart"/>
            <w:r>
              <w:t>Kohanski</w:t>
            </w:r>
            <w:proofErr w:type="spellEnd"/>
            <w:r>
              <w:t xml:space="preserve"> was sole author of correspondence. </w:t>
            </w:r>
          </w:p>
        </w:tc>
        <w:tc>
          <w:tcPr>
            <w:tcW w:w="3117" w:type="dxa"/>
          </w:tcPr>
          <w:p w14:paraId="73F4FC9D" w14:textId="140AA9FE" w:rsidR="00A02757" w:rsidRDefault="00E94EC2" w:rsidP="00B556A8">
            <w:r>
              <w:t>20:3-20:9</w:t>
            </w:r>
          </w:p>
        </w:tc>
      </w:tr>
      <w:tr w:rsidR="00A02757" w14:paraId="1627AAEB" w14:textId="77777777" w:rsidTr="00B556A8">
        <w:tc>
          <w:tcPr>
            <w:tcW w:w="3116" w:type="dxa"/>
          </w:tcPr>
          <w:p w14:paraId="50B6BDBD" w14:textId="77777777" w:rsidR="00A02757" w:rsidRDefault="00A02757" w:rsidP="00B556A8"/>
        </w:tc>
        <w:tc>
          <w:tcPr>
            <w:tcW w:w="3117" w:type="dxa"/>
          </w:tcPr>
          <w:p w14:paraId="0D99CB8A" w14:textId="060A41D4" w:rsidR="00A02757" w:rsidRDefault="00E94EC2" w:rsidP="00B556A8">
            <w:proofErr w:type="spellStart"/>
            <w:r>
              <w:t>Kohanski</w:t>
            </w:r>
            <w:proofErr w:type="spellEnd"/>
            <w:r>
              <w:t xml:space="preserve"> was assisted by colleagues to compile a list of recipients. They met via Zoom.</w:t>
            </w:r>
          </w:p>
        </w:tc>
        <w:tc>
          <w:tcPr>
            <w:tcW w:w="3117" w:type="dxa"/>
          </w:tcPr>
          <w:p w14:paraId="6022125F" w14:textId="5739052E" w:rsidR="00A02757" w:rsidRDefault="00E94EC2" w:rsidP="00B556A8">
            <w:r>
              <w:t>20:10-21:4</w:t>
            </w:r>
          </w:p>
        </w:tc>
      </w:tr>
      <w:tr w:rsidR="00A02757" w14:paraId="77090D33" w14:textId="77777777" w:rsidTr="00B556A8">
        <w:tc>
          <w:tcPr>
            <w:tcW w:w="3116" w:type="dxa"/>
          </w:tcPr>
          <w:p w14:paraId="0AD4BC23" w14:textId="77777777" w:rsidR="00A02757" w:rsidRDefault="00A02757" w:rsidP="00B556A8"/>
        </w:tc>
        <w:tc>
          <w:tcPr>
            <w:tcW w:w="3117" w:type="dxa"/>
          </w:tcPr>
          <w:p w14:paraId="1E423820" w14:textId="15B1DB5B" w:rsidR="00A02757" w:rsidRDefault="00E94EC2" w:rsidP="00B556A8">
            <w:proofErr w:type="spellStart"/>
            <w:r>
              <w:t>Kohanski</w:t>
            </w:r>
            <w:proofErr w:type="spellEnd"/>
            <w:r>
              <w:t xml:space="preserve"> was president of the graduate association of musicologists and theorists (</w:t>
            </w:r>
            <w:proofErr w:type="spellStart"/>
            <w:r>
              <w:t>GAMuT</w:t>
            </w:r>
            <w:proofErr w:type="spellEnd"/>
            <w:r>
              <w:t xml:space="preserve">).  Description of position, description of </w:t>
            </w:r>
            <w:proofErr w:type="spellStart"/>
            <w:r>
              <w:t>GAMuT</w:t>
            </w:r>
            <w:proofErr w:type="spellEnd"/>
            <w:r>
              <w:t>.</w:t>
            </w:r>
          </w:p>
        </w:tc>
        <w:tc>
          <w:tcPr>
            <w:tcW w:w="3117" w:type="dxa"/>
          </w:tcPr>
          <w:p w14:paraId="6D6FD9F2" w14:textId="16B292C3" w:rsidR="00A02757" w:rsidRDefault="00E94EC2" w:rsidP="00B556A8">
            <w:r>
              <w:t>21:5-23:4</w:t>
            </w:r>
          </w:p>
        </w:tc>
      </w:tr>
      <w:tr w:rsidR="00A02757" w14:paraId="52D7076C" w14:textId="77777777" w:rsidTr="00B556A8">
        <w:tc>
          <w:tcPr>
            <w:tcW w:w="3116" w:type="dxa"/>
          </w:tcPr>
          <w:p w14:paraId="36D23116" w14:textId="77777777" w:rsidR="00A02757" w:rsidRDefault="00A02757" w:rsidP="00B556A8"/>
        </w:tc>
        <w:tc>
          <w:tcPr>
            <w:tcW w:w="3117" w:type="dxa"/>
          </w:tcPr>
          <w:p w14:paraId="38B1ED23" w14:textId="1E6B9F50" w:rsidR="00A02757" w:rsidRDefault="00E94EC2" w:rsidP="00B556A8">
            <w:proofErr w:type="spellStart"/>
            <w:r>
              <w:t>Kohanski</w:t>
            </w:r>
            <w:proofErr w:type="spellEnd"/>
            <w:r>
              <w:t xml:space="preserve"> denies any DEI responsibilities </w:t>
            </w:r>
            <w:r w:rsidR="001C0F52">
              <w:t xml:space="preserve">with </w:t>
            </w:r>
            <w:proofErr w:type="spellStart"/>
            <w:r w:rsidR="001C0F52">
              <w:t>GAMuT</w:t>
            </w:r>
            <w:proofErr w:type="spellEnd"/>
            <w:r w:rsidR="001C0F52">
              <w:t>.</w:t>
            </w:r>
          </w:p>
        </w:tc>
        <w:tc>
          <w:tcPr>
            <w:tcW w:w="3117" w:type="dxa"/>
          </w:tcPr>
          <w:p w14:paraId="1CE330E2" w14:textId="11E704E9" w:rsidR="00A02757" w:rsidRDefault="001C0F52" w:rsidP="00B556A8">
            <w:r>
              <w:t>23:5-23:8</w:t>
            </w:r>
          </w:p>
        </w:tc>
      </w:tr>
      <w:tr w:rsidR="00A02757" w14:paraId="2500C34F" w14:textId="77777777" w:rsidTr="00B556A8">
        <w:tc>
          <w:tcPr>
            <w:tcW w:w="3116" w:type="dxa"/>
          </w:tcPr>
          <w:p w14:paraId="1E44925A" w14:textId="77777777" w:rsidR="00A02757" w:rsidRDefault="00A02757" w:rsidP="00B556A8"/>
        </w:tc>
        <w:tc>
          <w:tcPr>
            <w:tcW w:w="3117" w:type="dxa"/>
          </w:tcPr>
          <w:p w14:paraId="47AF518C" w14:textId="6EABE007" w:rsidR="00A02757" w:rsidRDefault="001C0F52" w:rsidP="00B556A8">
            <w:r>
              <w:t>Ex.2p.2 “Dear Dean Richmond” letter.  Who composed, edited, and gave input to its contents. Specifies Dean John Richmond of the College of Music.</w:t>
            </w:r>
          </w:p>
        </w:tc>
        <w:tc>
          <w:tcPr>
            <w:tcW w:w="3117" w:type="dxa"/>
          </w:tcPr>
          <w:p w14:paraId="2BD8534F" w14:textId="332BA6B2" w:rsidR="00A02757" w:rsidRDefault="001C0F52" w:rsidP="00B556A8">
            <w:r>
              <w:t>23:9</w:t>
            </w:r>
            <w:r w:rsidR="00536DCF">
              <w:t xml:space="preserve"> – 25:2</w:t>
            </w:r>
          </w:p>
        </w:tc>
      </w:tr>
      <w:tr w:rsidR="00A02757" w14:paraId="5559A6BB" w14:textId="77777777" w:rsidTr="00B556A8">
        <w:tc>
          <w:tcPr>
            <w:tcW w:w="3116" w:type="dxa"/>
          </w:tcPr>
          <w:p w14:paraId="29517DB9" w14:textId="77777777" w:rsidR="00A02757" w:rsidRDefault="00A02757" w:rsidP="00B556A8"/>
        </w:tc>
        <w:tc>
          <w:tcPr>
            <w:tcW w:w="3117" w:type="dxa"/>
          </w:tcPr>
          <w:p w14:paraId="3650FBBF" w14:textId="1BC51C7C" w:rsidR="00A02757" w:rsidRDefault="001C0F52" w:rsidP="00B556A8">
            <w:r>
              <w:t xml:space="preserve">Was not an official </w:t>
            </w:r>
            <w:proofErr w:type="spellStart"/>
            <w:r>
              <w:t>GAMuT</w:t>
            </w:r>
            <w:proofErr w:type="spellEnd"/>
            <w:r>
              <w:t xml:space="preserve"> activity.</w:t>
            </w:r>
          </w:p>
        </w:tc>
        <w:tc>
          <w:tcPr>
            <w:tcW w:w="3117" w:type="dxa"/>
          </w:tcPr>
          <w:p w14:paraId="5BD6AA8C" w14:textId="1F93B2A1" w:rsidR="00A02757" w:rsidRDefault="001C0F52" w:rsidP="00B556A8">
            <w:r>
              <w:t>25:3-15</w:t>
            </w:r>
          </w:p>
        </w:tc>
      </w:tr>
      <w:tr w:rsidR="00A02757" w14:paraId="5C7144AB" w14:textId="77777777" w:rsidTr="00B556A8">
        <w:tc>
          <w:tcPr>
            <w:tcW w:w="3116" w:type="dxa"/>
          </w:tcPr>
          <w:p w14:paraId="6B5E4705" w14:textId="77777777" w:rsidR="00A02757" w:rsidRDefault="00A02757" w:rsidP="00B556A8"/>
        </w:tc>
        <w:tc>
          <w:tcPr>
            <w:tcW w:w="3117" w:type="dxa"/>
          </w:tcPr>
          <w:p w14:paraId="1AD78B05" w14:textId="239E577D" w:rsidR="00A02757" w:rsidRDefault="001C0F52" w:rsidP="00B556A8">
            <w:r>
              <w:t>Letter written as concerned grad students and members of the division.</w:t>
            </w:r>
          </w:p>
        </w:tc>
        <w:tc>
          <w:tcPr>
            <w:tcW w:w="3117" w:type="dxa"/>
          </w:tcPr>
          <w:p w14:paraId="59FD1090" w14:textId="3F600E66" w:rsidR="00A02757" w:rsidRDefault="001C0F52" w:rsidP="00B556A8">
            <w:r>
              <w:t>25:16-25</w:t>
            </w:r>
          </w:p>
        </w:tc>
      </w:tr>
      <w:tr w:rsidR="00A02757" w14:paraId="5E41C723" w14:textId="77777777" w:rsidTr="00B556A8">
        <w:tc>
          <w:tcPr>
            <w:tcW w:w="3116" w:type="dxa"/>
          </w:tcPr>
          <w:p w14:paraId="21A820FC" w14:textId="77777777" w:rsidR="00A02757" w:rsidRDefault="00A02757" w:rsidP="00B556A8"/>
        </w:tc>
        <w:tc>
          <w:tcPr>
            <w:tcW w:w="3117" w:type="dxa"/>
          </w:tcPr>
          <w:p w14:paraId="4A062C01" w14:textId="45DB8F01" w:rsidR="00A02757" w:rsidRDefault="00E63950" w:rsidP="00B556A8">
            <w:r>
              <w:t>¶2 of letter. Anti-black racism in reference to Jackson article in V12 of JSS.</w:t>
            </w:r>
          </w:p>
        </w:tc>
        <w:tc>
          <w:tcPr>
            <w:tcW w:w="3117" w:type="dxa"/>
          </w:tcPr>
          <w:p w14:paraId="69D2FD06" w14:textId="09E9BDAB" w:rsidR="00A02757" w:rsidRDefault="00E63950" w:rsidP="00B556A8">
            <w:r>
              <w:t>26:</w:t>
            </w:r>
            <w:r w:rsidR="00536DCF">
              <w:t>1 – 30:1</w:t>
            </w:r>
          </w:p>
        </w:tc>
      </w:tr>
      <w:tr w:rsidR="00A02757" w14:paraId="2F402B06" w14:textId="77777777" w:rsidTr="00B556A8">
        <w:tc>
          <w:tcPr>
            <w:tcW w:w="3116" w:type="dxa"/>
          </w:tcPr>
          <w:p w14:paraId="2F783AD9" w14:textId="77777777" w:rsidR="00A02757" w:rsidRDefault="00A02757" w:rsidP="00B556A8"/>
        </w:tc>
        <w:tc>
          <w:tcPr>
            <w:tcW w:w="3117" w:type="dxa"/>
          </w:tcPr>
          <w:p w14:paraId="32766236" w14:textId="0EFCBDD2" w:rsidR="00A02757" w:rsidRDefault="00536DCF" w:rsidP="00B556A8">
            <w:r>
              <w:t xml:space="preserve">¶2 of letter.  Platforming of ad hominem attacks in response to Dr. Philip Ewell’s scholarship. </w:t>
            </w:r>
          </w:p>
        </w:tc>
        <w:tc>
          <w:tcPr>
            <w:tcW w:w="3117" w:type="dxa"/>
          </w:tcPr>
          <w:p w14:paraId="02A2811F" w14:textId="5FF573F5" w:rsidR="00A02757" w:rsidRDefault="00536DCF" w:rsidP="00B556A8">
            <w:r>
              <w:t>30:2-15</w:t>
            </w:r>
          </w:p>
        </w:tc>
      </w:tr>
      <w:tr w:rsidR="00A02757" w14:paraId="6217E7AA" w14:textId="77777777" w:rsidTr="00B556A8">
        <w:tc>
          <w:tcPr>
            <w:tcW w:w="3116" w:type="dxa"/>
          </w:tcPr>
          <w:p w14:paraId="4BBF57D4" w14:textId="77777777" w:rsidR="00A02757" w:rsidRDefault="00A02757" w:rsidP="00B556A8"/>
        </w:tc>
        <w:tc>
          <w:tcPr>
            <w:tcW w:w="3117" w:type="dxa"/>
          </w:tcPr>
          <w:p w14:paraId="069937E9" w14:textId="56C8B589" w:rsidR="00A02757" w:rsidRDefault="00536DCF" w:rsidP="00B556A8">
            <w:r>
              <w:t xml:space="preserve">Timeline of when </w:t>
            </w:r>
            <w:proofErr w:type="spellStart"/>
            <w:r>
              <w:t>Kohanski</w:t>
            </w:r>
            <w:proofErr w:type="spellEnd"/>
            <w:r>
              <w:t xml:space="preserve"> read Jackson article. </w:t>
            </w:r>
          </w:p>
        </w:tc>
        <w:tc>
          <w:tcPr>
            <w:tcW w:w="3117" w:type="dxa"/>
          </w:tcPr>
          <w:p w14:paraId="3F029B98" w14:textId="48AEF65C" w:rsidR="00A02757" w:rsidRDefault="00536DCF" w:rsidP="00B556A8">
            <w:r>
              <w:t>30:16 – 31:18</w:t>
            </w:r>
          </w:p>
        </w:tc>
      </w:tr>
      <w:tr w:rsidR="00A02757" w14:paraId="62771A9D" w14:textId="77777777" w:rsidTr="00B556A8">
        <w:tc>
          <w:tcPr>
            <w:tcW w:w="3116" w:type="dxa"/>
          </w:tcPr>
          <w:p w14:paraId="4A1F4F9B" w14:textId="77777777" w:rsidR="00A02757" w:rsidRDefault="00A02757" w:rsidP="00B556A8"/>
        </w:tc>
        <w:tc>
          <w:tcPr>
            <w:tcW w:w="3117" w:type="dxa"/>
          </w:tcPr>
          <w:p w14:paraId="2E3DC7E6" w14:textId="3623F10A" w:rsidR="00A02757" w:rsidRDefault="00536DCF" w:rsidP="00B556A8">
            <w:proofErr w:type="spellStart"/>
            <w:r>
              <w:t>Kohanski</w:t>
            </w:r>
            <w:proofErr w:type="spellEnd"/>
            <w:r>
              <w:t xml:space="preserve"> began composing letter after he read the entire article.</w:t>
            </w:r>
          </w:p>
        </w:tc>
        <w:tc>
          <w:tcPr>
            <w:tcW w:w="3117" w:type="dxa"/>
          </w:tcPr>
          <w:p w14:paraId="132A8D30" w14:textId="1DC9669A" w:rsidR="00A02757" w:rsidRDefault="00536DCF" w:rsidP="00B556A8">
            <w:r>
              <w:t>31:19-21</w:t>
            </w:r>
          </w:p>
        </w:tc>
      </w:tr>
      <w:tr w:rsidR="00A02757" w14:paraId="6F37DC80" w14:textId="77777777" w:rsidTr="00B556A8">
        <w:tc>
          <w:tcPr>
            <w:tcW w:w="3116" w:type="dxa"/>
          </w:tcPr>
          <w:p w14:paraId="0E44F160" w14:textId="77777777" w:rsidR="00A02757" w:rsidRDefault="00A02757" w:rsidP="00B556A8"/>
        </w:tc>
        <w:tc>
          <w:tcPr>
            <w:tcW w:w="3117" w:type="dxa"/>
          </w:tcPr>
          <w:p w14:paraId="05EC986A" w14:textId="360BC40E" w:rsidR="00A02757" w:rsidRDefault="00536DCF" w:rsidP="00B556A8">
            <w:r>
              <w:t>Clarification of “monolithic” with regard to the black community</w:t>
            </w:r>
            <w:r w:rsidR="00236452">
              <w:t>/anti-Semitism.</w:t>
            </w:r>
          </w:p>
        </w:tc>
        <w:tc>
          <w:tcPr>
            <w:tcW w:w="3117" w:type="dxa"/>
          </w:tcPr>
          <w:p w14:paraId="609FD83F" w14:textId="5F8FA995" w:rsidR="00A02757" w:rsidRDefault="00236452" w:rsidP="00B556A8">
            <w:r>
              <w:t>32:6-21</w:t>
            </w:r>
          </w:p>
        </w:tc>
      </w:tr>
      <w:tr w:rsidR="00A02757" w14:paraId="6894857B" w14:textId="77777777" w:rsidTr="00B556A8">
        <w:tc>
          <w:tcPr>
            <w:tcW w:w="3116" w:type="dxa"/>
          </w:tcPr>
          <w:p w14:paraId="4D12FEC1" w14:textId="77777777" w:rsidR="00A02757" w:rsidRDefault="00A02757" w:rsidP="00B556A8"/>
        </w:tc>
        <w:tc>
          <w:tcPr>
            <w:tcW w:w="3117" w:type="dxa"/>
          </w:tcPr>
          <w:p w14:paraId="6CC40D4C" w14:textId="52AB1769" w:rsidR="00A02757" w:rsidRDefault="00236452" w:rsidP="00B556A8">
            <w:r>
              <w:t xml:space="preserve">¶2, sentence 2 of letter. “Egregious acts that go beyond the bounds of academic discourse.” Re statements published in the JSS. </w:t>
            </w:r>
          </w:p>
        </w:tc>
        <w:tc>
          <w:tcPr>
            <w:tcW w:w="3117" w:type="dxa"/>
          </w:tcPr>
          <w:p w14:paraId="383F1EFC" w14:textId="005A1BC0" w:rsidR="00A02757" w:rsidRDefault="00EE41CE" w:rsidP="00B556A8">
            <w:r>
              <w:t>32:22</w:t>
            </w:r>
            <w:r>
              <w:t xml:space="preserve"> – 33:6</w:t>
            </w:r>
          </w:p>
        </w:tc>
      </w:tr>
      <w:tr w:rsidR="00A02757" w14:paraId="61E7F5DA" w14:textId="77777777" w:rsidTr="00B556A8">
        <w:tc>
          <w:tcPr>
            <w:tcW w:w="3116" w:type="dxa"/>
          </w:tcPr>
          <w:p w14:paraId="24D1BB04" w14:textId="77777777" w:rsidR="00A02757" w:rsidRDefault="00A02757" w:rsidP="00B556A8"/>
        </w:tc>
        <w:tc>
          <w:tcPr>
            <w:tcW w:w="3117" w:type="dxa"/>
          </w:tcPr>
          <w:p w14:paraId="1D00618C" w14:textId="03947017" w:rsidR="00A02757" w:rsidRDefault="00EE41CE" w:rsidP="00B556A8">
            <w:r>
              <w:t xml:space="preserve">Materials submitted detailing editing process of journal, communications between editorial staff. </w:t>
            </w:r>
          </w:p>
        </w:tc>
        <w:tc>
          <w:tcPr>
            <w:tcW w:w="3117" w:type="dxa"/>
          </w:tcPr>
          <w:p w14:paraId="32AAEA36" w14:textId="250740A2" w:rsidR="00A02757" w:rsidRDefault="00EE41CE" w:rsidP="00B556A8">
            <w:r>
              <w:t>33:7 – 34:23</w:t>
            </w:r>
          </w:p>
        </w:tc>
      </w:tr>
      <w:tr w:rsidR="00A02757" w14:paraId="56E11006" w14:textId="77777777" w:rsidTr="00B556A8">
        <w:tc>
          <w:tcPr>
            <w:tcW w:w="3116" w:type="dxa"/>
          </w:tcPr>
          <w:p w14:paraId="1ACF9D0A" w14:textId="77777777" w:rsidR="00A02757" w:rsidRDefault="00A02757" w:rsidP="00B556A8"/>
        </w:tc>
        <w:tc>
          <w:tcPr>
            <w:tcW w:w="3117" w:type="dxa"/>
          </w:tcPr>
          <w:p w14:paraId="29C8513D" w14:textId="6CD2CDD2" w:rsidR="00A02757" w:rsidRDefault="00EE41CE" w:rsidP="00B556A8">
            <w:r>
              <w:t>“Reprehensible aspects of the journal”; “Lack of Peer Review.”</w:t>
            </w:r>
            <w:r w:rsidR="0083192C">
              <w:t xml:space="preserve"> </w:t>
            </w:r>
          </w:p>
        </w:tc>
        <w:tc>
          <w:tcPr>
            <w:tcW w:w="3117" w:type="dxa"/>
          </w:tcPr>
          <w:p w14:paraId="04E16B61" w14:textId="5E22B2F9" w:rsidR="00A02757" w:rsidRDefault="00EE41CE" w:rsidP="00B556A8">
            <w:r>
              <w:t>34:24 – 37:1</w:t>
            </w:r>
          </w:p>
        </w:tc>
      </w:tr>
      <w:tr w:rsidR="00A02757" w14:paraId="14F230E1" w14:textId="77777777" w:rsidTr="0044018F">
        <w:tc>
          <w:tcPr>
            <w:tcW w:w="3116" w:type="dxa"/>
          </w:tcPr>
          <w:p w14:paraId="4A000395" w14:textId="1C818280" w:rsidR="00A02757" w:rsidRDefault="00A02757"/>
        </w:tc>
        <w:tc>
          <w:tcPr>
            <w:tcW w:w="3117" w:type="dxa"/>
          </w:tcPr>
          <w:p w14:paraId="7D964DBB" w14:textId="2A6ED204" w:rsidR="00A02757" w:rsidRDefault="00EE41CE">
            <w:r>
              <w:t>“Illicit collaboration.”</w:t>
            </w:r>
          </w:p>
        </w:tc>
        <w:tc>
          <w:tcPr>
            <w:tcW w:w="3117" w:type="dxa"/>
          </w:tcPr>
          <w:p w14:paraId="0A3100A3" w14:textId="02C12CE7" w:rsidR="00A02757" w:rsidRDefault="00EE41CE">
            <w:r>
              <w:t>37:2 – 41:9</w:t>
            </w:r>
          </w:p>
        </w:tc>
      </w:tr>
      <w:tr w:rsidR="00EE41CE" w14:paraId="38C9D7DD" w14:textId="77777777" w:rsidTr="00B556A8">
        <w:tc>
          <w:tcPr>
            <w:tcW w:w="3116" w:type="dxa"/>
          </w:tcPr>
          <w:p w14:paraId="19F8AF10" w14:textId="77777777" w:rsidR="00EE41CE" w:rsidRDefault="00EE41CE" w:rsidP="00B556A8"/>
        </w:tc>
        <w:tc>
          <w:tcPr>
            <w:tcW w:w="3117" w:type="dxa"/>
          </w:tcPr>
          <w:p w14:paraId="7460C9E2" w14:textId="4F658CE2" w:rsidR="00EE41CE" w:rsidRDefault="00EE41CE" w:rsidP="00B556A8">
            <w:r>
              <w:t>Including music theory students in solicitation of support for letter.</w:t>
            </w:r>
          </w:p>
        </w:tc>
        <w:tc>
          <w:tcPr>
            <w:tcW w:w="3117" w:type="dxa"/>
          </w:tcPr>
          <w:p w14:paraId="402DD179" w14:textId="30B576E3" w:rsidR="00EE41CE" w:rsidRDefault="00EE41CE" w:rsidP="00B556A8">
            <w:r>
              <w:t>42:2</w:t>
            </w:r>
            <w:r w:rsidR="0083192C">
              <w:t xml:space="preserve"> – 43:5</w:t>
            </w:r>
          </w:p>
        </w:tc>
      </w:tr>
      <w:tr w:rsidR="00EE41CE" w14:paraId="7F574FD9" w14:textId="77777777" w:rsidTr="00B556A8">
        <w:tc>
          <w:tcPr>
            <w:tcW w:w="3116" w:type="dxa"/>
          </w:tcPr>
          <w:p w14:paraId="326B0903" w14:textId="77777777" w:rsidR="00EE41CE" w:rsidRDefault="00EE41CE" w:rsidP="00B556A8"/>
        </w:tc>
        <w:tc>
          <w:tcPr>
            <w:tcW w:w="3117" w:type="dxa"/>
          </w:tcPr>
          <w:p w14:paraId="4F4575C1" w14:textId="3A51213B" w:rsidR="00EE41CE" w:rsidRDefault="0083192C" w:rsidP="00B556A8">
            <w:r>
              <w:t>“Editorial missteps”. Levi Walls involvement.</w:t>
            </w:r>
          </w:p>
        </w:tc>
        <w:tc>
          <w:tcPr>
            <w:tcW w:w="3117" w:type="dxa"/>
          </w:tcPr>
          <w:p w14:paraId="36C359C3" w14:textId="769D4AE0" w:rsidR="00EE41CE" w:rsidRDefault="0083192C" w:rsidP="00B556A8">
            <w:r>
              <w:t>43:6 – 44:19</w:t>
            </w:r>
          </w:p>
        </w:tc>
      </w:tr>
      <w:tr w:rsidR="00EE41CE" w14:paraId="225B6E6A" w14:textId="77777777" w:rsidTr="00B556A8">
        <w:tc>
          <w:tcPr>
            <w:tcW w:w="3116" w:type="dxa"/>
          </w:tcPr>
          <w:p w14:paraId="539F3902" w14:textId="77777777" w:rsidR="00EE41CE" w:rsidRDefault="00EE41CE" w:rsidP="00B556A8"/>
        </w:tc>
        <w:tc>
          <w:tcPr>
            <w:tcW w:w="3117" w:type="dxa"/>
          </w:tcPr>
          <w:p w14:paraId="1E5AE143" w14:textId="429B10A8" w:rsidR="00EE41CE" w:rsidRDefault="0083192C" w:rsidP="00B556A8">
            <w:r>
              <w:t>Levi Walls speaking to group over Zoom meetings held in the course of one week.</w:t>
            </w:r>
          </w:p>
        </w:tc>
        <w:tc>
          <w:tcPr>
            <w:tcW w:w="3117" w:type="dxa"/>
          </w:tcPr>
          <w:p w14:paraId="1F809185" w14:textId="1A0CE700" w:rsidR="00EE41CE" w:rsidRDefault="0083192C" w:rsidP="00B556A8">
            <w:r>
              <w:t>44:20 – 46:5</w:t>
            </w:r>
          </w:p>
        </w:tc>
      </w:tr>
      <w:tr w:rsidR="00EE41CE" w14:paraId="2410E590" w14:textId="77777777" w:rsidTr="00B556A8">
        <w:tc>
          <w:tcPr>
            <w:tcW w:w="3116" w:type="dxa"/>
          </w:tcPr>
          <w:p w14:paraId="7D15569B" w14:textId="77777777" w:rsidR="00EE41CE" w:rsidRDefault="00EE41CE" w:rsidP="00B556A8"/>
        </w:tc>
        <w:tc>
          <w:tcPr>
            <w:tcW w:w="3117" w:type="dxa"/>
          </w:tcPr>
          <w:p w14:paraId="4A725D46" w14:textId="77777777" w:rsidR="00EE41CE" w:rsidRDefault="0083192C" w:rsidP="00B556A8">
            <w:proofErr w:type="spellStart"/>
            <w:r>
              <w:t>Kohanski</w:t>
            </w:r>
            <w:proofErr w:type="spellEnd"/>
            <w:r>
              <w:t xml:space="preserve">’ s direct communication with Walls re Twitter reactions to document re </w:t>
            </w:r>
            <w:r w:rsidR="00386F86">
              <w:t>statement that was reproduced as part of the ad hoc panel report. Walls concerned about what this would mean for his future.</w:t>
            </w:r>
          </w:p>
          <w:p w14:paraId="36A868C7" w14:textId="17C97017" w:rsidR="00386F86" w:rsidRDefault="00386F86" w:rsidP="00B556A8"/>
        </w:tc>
        <w:tc>
          <w:tcPr>
            <w:tcW w:w="3117" w:type="dxa"/>
          </w:tcPr>
          <w:p w14:paraId="75C8667E" w14:textId="51F87968" w:rsidR="00EE41CE" w:rsidRDefault="0083192C" w:rsidP="00B556A8">
            <w:r>
              <w:t>46:6</w:t>
            </w:r>
            <w:r w:rsidR="00386F86">
              <w:t xml:space="preserve"> – 50:16</w:t>
            </w:r>
          </w:p>
        </w:tc>
      </w:tr>
      <w:tr w:rsidR="00EE41CE" w14:paraId="35A0DF83" w14:textId="77777777" w:rsidTr="00B556A8">
        <w:tc>
          <w:tcPr>
            <w:tcW w:w="3116" w:type="dxa"/>
          </w:tcPr>
          <w:p w14:paraId="37438D78" w14:textId="77777777" w:rsidR="00EE41CE" w:rsidRDefault="00EE41CE" w:rsidP="00B556A8"/>
        </w:tc>
        <w:tc>
          <w:tcPr>
            <w:tcW w:w="3117" w:type="dxa"/>
          </w:tcPr>
          <w:p w14:paraId="35970B5D" w14:textId="3AB1F0C3" w:rsidR="00EE41CE" w:rsidRDefault="00386F86" w:rsidP="00B556A8">
            <w:r>
              <w:t xml:space="preserve">1-5 of </w:t>
            </w:r>
            <w:proofErr w:type="spellStart"/>
            <w:r>
              <w:t>Kohanski’s</w:t>
            </w:r>
            <w:proofErr w:type="spellEnd"/>
            <w:r>
              <w:t xml:space="preserve"> statement, “The following steps to be taken.”  No. 2, “a public condemnation of the issue and release it fully online to the public.”</w:t>
            </w:r>
          </w:p>
        </w:tc>
        <w:tc>
          <w:tcPr>
            <w:tcW w:w="3117" w:type="dxa"/>
          </w:tcPr>
          <w:p w14:paraId="7E9BAF4C" w14:textId="59450C58" w:rsidR="00EE41CE" w:rsidRDefault="00386F86" w:rsidP="00B556A8">
            <w:r>
              <w:t>50:17-25</w:t>
            </w:r>
          </w:p>
        </w:tc>
      </w:tr>
      <w:tr w:rsidR="00EE41CE" w14:paraId="60A5DAC0" w14:textId="77777777" w:rsidTr="00B556A8">
        <w:tc>
          <w:tcPr>
            <w:tcW w:w="3116" w:type="dxa"/>
          </w:tcPr>
          <w:p w14:paraId="77AB6374" w14:textId="77777777" w:rsidR="00EE41CE" w:rsidRDefault="00EE41CE" w:rsidP="00B556A8"/>
        </w:tc>
        <w:tc>
          <w:tcPr>
            <w:tcW w:w="3117" w:type="dxa"/>
          </w:tcPr>
          <w:p w14:paraId="084918CF" w14:textId="3E83A083" w:rsidR="00EE41CE" w:rsidRDefault="00386F86" w:rsidP="00B556A8">
            <w:r>
              <w:t>#1:  “The JSS moving forward”.</w:t>
            </w:r>
          </w:p>
          <w:p w14:paraId="05134232" w14:textId="651D2824" w:rsidR="00386F86" w:rsidRDefault="00386F86" w:rsidP="00B556A8">
            <w:r>
              <w:t>“Dissolve the Journal.”`</w:t>
            </w:r>
          </w:p>
        </w:tc>
        <w:tc>
          <w:tcPr>
            <w:tcW w:w="3117" w:type="dxa"/>
          </w:tcPr>
          <w:p w14:paraId="4EDF1E9A" w14:textId="60DFBED0" w:rsidR="00EE41CE" w:rsidRDefault="00386F86" w:rsidP="00B556A8">
            <w:r>
              <w:t>51:1-12</w:t>
            </w:r>
          </w:p>
        </w:tc>
      </w:tr>
      <w:tr w:rsidR="00EE41CE" w14:paraId="5DFA521C" w14:textId="77777777" w:rsidTr="00B556A8">
        <w:tc>
          <w:tcPr>
            <w:tcW w:w="3116" w:type="dxa"/>
          </w:tcPr>
          <w:p w14:paraId="55C5EBAA" w14:textId="77777777" w:rsidR="00EE41CE" w:rsidRDefault="00EE41CE" w:rsidP="00B556A8"/>
        </w:tc>
        <w:tc>
          <w:tcPr>
            <w:tcW w:w="3117" w:type="dxa"/>
          </w:tcPr>
          <w:p w14:paraId="24EEB286" w14:textId="1A4FCD02" w:rsidR="00386F86" w:rsidRDefault="00386F86" w:rsidP="00B556A8">
            <w:r>
              <w:t>#2: “A</w:t>
            </w:r>
            <w:r>
              <w:t xml:space="preserve"> public condemnation of the issue and release it fully online to the public.”</w:t>
            </w:r>
          </w:p>
        </w:tc>
        <w:tc>
          <w:tcPr>
            <w:tcW w:w="3117" w:type="dxa"/>
          </w:tcPr>
          <w:p w14:paraId="74438961" w14:textId="4C4A9F75" w:rsidR="00EE41CE" w:rsidRDefault="00386F86" w:rsidP="00B556A8">
            <w:r>
              <w:t xml:space="preserve">51:13 – 52:25 </w:t>
            </w:r>
          </w:p>
        </w:tc>
      </w:tr>
      <w:tr w:rsidR="00EE41CE" w14:paraId="72A70908" w14:textId="77777777" w:rsidTr="00B556A8">
        <w:tc>
          <w:tcPr>
            <w:tcW w:w="3116" w:type="dxa"/>
          </w:tcPr>
          <w:p w14:paraId="672CF062" w14:textId="77777777" w:rsidR="00EE41CE" w:rsidRDefault="00EE41CE" w:rsidP="00B556A8"/>
        </w:tc>
        <w:tc>
          <w:tcPr>
            <w:tcW w:w="3117" w:type="dxa"/>
          </w:tcPr>
          <w:p w14:paraId="420ED53D" w14:textId="6FF0DB1E" w:rsidR="00EE41CE" w:rsidRDefault="00386F86" w:rsidP="00B556A8">
            <w:r>
              <w:t xml:space="preserve">#3: “A full, detailed, and public account of the editorial and publication </w:t>
            </w:r>
            <w:r>
              <w:lastRenderedPageBreak/>
              <w:t xml:space="preserve">process.” Ad hoc review panel. </w:t>
            </w:r>
          </w:p>
        </w:tc>
        <w:tc>
          <w:tcPr>
            <w:tcW w:w="3117" w:type="dxa"/>
          </w:tcPr>
          <w:p w14:paraId="4E1765BE" w14:textId="3AF7D42B" w:rsidR="00EE41CE" w:rsidRDefault="00386F86" w:rsidP="00B556A8">
            <w:r>
              <w:lastRenderedPageBreak/>
              <w:t>53:1</w:t>
            </w:r>
            <w:r w:rsidR="006B12C5">
              <w:t xml:space="preserve"> – 54:10</w:t>
            </w:r>
          </w:p>
        </w:tc>
      </w:tr>
      <w:tr w:rsidR="00EE41CE" w14:paraId="46FCD77A" w14:textId="77777777" w:rsidTr="00B556A8">
        <w:tc>
          <w:tcPr>
            <w:tcW w:w="3116" w:type="dxa"/>
          </w:tcPr>
          <w:p w14:paraId="0D125E09" w14:textId="77777777" w:rsidR="00EE41CE" w:rsidRDefault="00EE41CE" w:rsidP="00B556A8"/>
        </w:tc>
        <w:tc>
          <w:tcPr>
            <w:tcW w:w="3117" w:type="dxa"/>
          </w:tcPr>
          <w:p w14:paraId="7A6B1B53" w14:textId="77777777" w:rsidR="00EE41CE" w:rsidRDefault="006B12C5" w:rsidP="00B556A8">
            <w:r>
              <w:t>#4”Hold accountable every person responsible for the direction of the publication.”</w:t>
            </w:r>
          </w:p>
          <w:p w14:paraId="14AE48ED" w14:textId="1E2491F6" w:rsidR="006B12C5" w:rsidRDefault="006B12C5" w:rsidP="00B556A8"/>
        </w:tc>
        <w:tc>
          <w:tcPr>
            <w:tcW w:w="3117" w:type="dxa"/>
          </w:tcPr>
          <w:p w14:paraId="7D3074C6" w14:textId="450B8E04" w:rsidR="00EE41CE" w:rsidRDefault="006B12C5" w:rsidP="00B556A8">
            <w:r>
              <w:t>54:11-14</w:t>
            </w:r>
          </w:p>
        </w:tc>
      </w:tr>
      <w:tr w:rsidR="00EE41CE" w14:paraId="1E96AAD3" w14:textId="77777777" w:rsidTr="00B556A8">
        <w:tc>
          <w:tcPr>
            <w:tcW w:w="3116" w:type="dxa"/>
          </w:tcPr>
          <w:p w14:paraId="6CE32D6C" w14:textId="77777777" w:rsidR="00EE41CE" w:rsidRDefault="00EE41CE" w:rsidP="00B556A8"/>
        </w:tc>
        <w:tc>
          <w:tcPr>
            <w:tcW w:w="3117" w:type="dxa"/>
          </w:tcPr>
          <w:p w14:paraId="62527AB9" w14:textId="23263A2D" w:rsidR="00EE41CE" w:rsidRDefault="006B12C5" w:rsidP="00B556A8">
            <w:r>
              <w:t>“Past bigoted behaviors by faculty.”</w:t>
            </w:r>
            <w:r>
              <w:t xml:space="preserve">  Dr. Jackson allegedly telling an Asian student to put rocks in his mouth. </w:t>
            </w:r>
          </w:p>
        </w:tc>
        <w:tc>
          <w:tcPr>
            <w:tcW w:w="3117" w:type="dxa"/>
          </w:tcPr>
          <w:p w14:paraId="113AFA07" w14:textId="39152853" w:rsidR="00EE41CE" w:rsidRDefault="006B12C5" w:rsidP="00B556A8">
            <w:r>
              <w:t>54:15 – 58:20</w:t>
            </w:r>
          </w:p>
        </w:tc>
      </w:tr>
      <w:tr w:rsidR="00EE41CE" w14:paraId="7B17FEEA" w14:textId="77777777" w:rsidTr="00B556A8">
        <w:tc>
          <w:tcPr>
            <w:tcW w:w="3116" w:type="dxa"/>
          </w:tcPr>
          <w:p w14:paraId="152410AF" w14:textId="77777777" w:rsidR="00EE41CE" w:rsidRDefault="00EE41CE" w:rsidP="00B556A8"/>
        </w:tc>
        <w:tc>
          <w:tcPr>
            <w:tcW w:w="3117" w:type="dxa"/>
          </w:tcPr>
          <w:p w14:paraId="23A0CD9C" w14:textId="262BFDAA" w:rsidR="00EE41CE" w:rsidRDefault="006B12C5" w:rsidP="00B556A8">
            <w:r>
              <w:t>Calling for Dr. Jackson’s dismissal.  “A history of racist, sexist, and abusive behavior in his many capacities.”</w:t>
            </w:r>
          </w:p>
        </w:tc>
        <w:tc>
          <w:tcPr>
            <w:tcW w:w="3117" w:type="dxa"/>
          </w:tcPr>
          <w:p w14:paraId="6AFCB0D0" w14:textId="184D458B" w:rsidR="00EE41CE" w:rsidRDefault="006B12C5" w:rsidP="00B556A8">
            <w:r>
              <w:t>58:21 – 60:1</w:t>
            </w:r>
          </w:p>
        </w:tc>
      </w:tr>
      <w:tr w:rsidR="00EE41CE" w14:paraId="03115A8B" w14:textId="77777777" w:rsidTr="00B556A8">
        <w:tc>
          <w:tcPr>
            <w:tcW w:w="3116" w:type="dxa"/>
          </w:tcPr>
          <w:p w14:paraId="629B51AA" w14:textId="77777777" w:rsidR="00EE41CE" w:rsidRDefault="00EE41CE" w:rsidP="00B556A8"/>
        </w:tc>
        <w:tc>
          <w:tcPr>
            <w:tcW w:w="3117" w:type="dxa"/>
          </w:tcPr>
          <w:p w14:paraId="577D461E" w14:textId="57186188" w:rsidR="00EE41CE" w:rsidRDefault="006B12C5" w:rsidP="00B556A8">
            <w:r>
              <w:t xml:space="preserve">Specifics as to Dr. Jackson’s “history”. </w:t>
            </w:r>
          </w:p>
          <w:p w14:paraId="7B98CDEE" w14:textId="7FB00E6B" w:rsidR="006B12C5" w:rsidRDefault="006B12C5" w:rsidP="006B12C5">
            <w:pPr>
              <w:pStyle w:val="ListParagraph"/>
              <w:numPr>
                <w:ilvl w:val="0"/>
                <w:numId w:val="1"/>
              </w:numPr>
            </w:pPr>
            <w:r>
              <w:t xml:space="preserve"> Publication of the Volume 12 of the JSS.</w:t>
            </w:r>
          </w:p>
        </w:tc>
        <w:tc>
          <w:tcPr>
            <w:tcW w:w="3117" w:type="dxa"/>
          </w:tcPr>
          <w:p w14:paraId="3021283C" w14:textId="0C6B9047" w:rsidR="00EE41CE" w:rsidRDefault="006B12C5" w:rsidP="00B556A8">
            <w:r>
              <w:t>60:2-6</w:t>
            </w:r>
          </w:p>
        </w:tc>
      </w:tr>
      <w:tr w:rsidR="00EE41CE" w14:paraId="6D973AFA" w14:textId="77777777" w:rsidTr="00B556A8">
        <w:tc>
          <w:tcPr>
            <w:tcW w:w="3116" w:type="dxa"/>
          </w:tcPr>
          <w:p w14:paraId="4BCB4AAE" w14:textId="77777777" w:rsidR="00EE41CE" w:rsidRDefault="00EE41CE" w:rsidP="00B556A8"/>
        </w:tc>
        <w:tc>
          <w:tcPr>
            <w:tcW w:w="3117" w:type="dxa"/>
          </w:tcPr>
          <w:p w14:paraId="50FCDA4A" w14:textId="45AC8D07" w:rsidR="00EE41CE" w:rsidRDefault="006B12C5" w:rsidP="006B12C5">
            <w:pPr>
              <w:pStyle w:val="ListParagraph"/>
              <w:numPr>
                <w:ilvl w:val="0"/>
                <w:numId w:val="1"/>
              </w:numPr>
            </w:pPr>
            <w:r>
              <w:t xml:space="preserve">At CSS, using an RA </w:t>
            </w:r>
            <w:r w:rsidR="00007820">
              <w:t xml:space="preserve">(Yiyi Gao) </w:t>
            </w:r>
            <w:r>
              <w:t>to aid with personal research.</w:t>
            </w:r>
          </w:p>
        </w:tc>
        <w:tc>
          <w:tcPr>
            <w:tcW w:w="3117" w:type="dxa"/>
          </w:tcPr>
          <w:p w14:paraId="0F4F3B00" w14:textId="5FDA0958" w:rsidR="00EE41CE" w:rsidRDefault="006B12C5" w:rsidP="00B556A8">
            <w:r>
              <w:t>60</w:t>
            </w:r>
            <w:r w:rsidR="00007820">
              <w:t>:7 – 64:3</w:t>
            </w:r>
          </w:p>
        </w:tc>
      </w:tr>
      <w:tr w:rsidR="00EE41CE" w14:paraId="49900DDA" w14:textId="77777777" w:rsidTr="00B556A8">
        <w:tc>
          <w:tcPr>
            <w:tcW w:w="3116" w:type="dxa"/>
          </w:tcPr>
          <w:p w14:paraId="5DBE69B3" w14:textId="77777777" w:rsidR="00EE41CE" w:rsidRDefault="00EE41CE" w:rsidP="00B556A8"/>
        </w:tc>
        <w:tc>
          <w:tcPr>
            <w:tcW w:w="3117" w:type="dxa"/>
          </w:tcPr>
          <w:p w14:paraId="6CE9F2FB" w14:textId="06C3314D" w:rsidR="00EE41CE" w:rsidRDefault="00007820" w:rsidP="00B556A8">
            <w:r>
              <w:t>#3 Extortion in reference to grade manipulation. Again, in reference to Yiyi Gao. Can’t remember specifics as to how Gao’s career and reputation were threatened.</w:t>
            </w:r>
          </w:p>
        </w:tc>
        <w:tc>
          <w:tcPr>
            <w:tcW w:w="3117" w:type="dxa"/>
          </w:tcPr>
          <w:p w14:paraId="661B8A28" w14:textId="033548CD" w:rsidR="00EE41CE" w:rsidRDefault="00007820" w:rsidP="00B556A8">
            <w:r>
              <w:t>64:3 – 65:15</w:t>
            </w:r>
          </w:p>
        </w:tc>
      </w:tr>
      <w:tr w:rsidR="00EE41CE" w14:paraId="3B56AB32" w14:textId="77777777" w:rsidTr="00B556A8">
        <w:tc>
          <w:tcPr>
            <w:tcW w:w="3116" w:type="dxa"/>
          </w:tcPr>
          <w:p w14:paraId="36703E8F" w14:textId="77777777" w:rsidR="00EE41CE" w:rsidRDefault="00EE41CE" w:rsidP="00B556A8"/>
        </w:tc>
        <w:tc>
          <w:tcPr>
            <w:tcW w:w="3117" w:type="dxa"/>
          </w:tcPr>
          <w:p w14:paraId="0B1CD00A" w14:textId="302AE107" w:rsidR="00007820" w:rsidRDefault="00007820" w:rsidP="00B556A8">
            <w:r>
              <w:t xml:space="preserve">Discussion on if it is ever legitimate for a student’s career to be threatened in their work with a professor. </w:t>
            </w:r>
            <w:proofErr w:type="spellStart"/>
            <w:r>
              <w:t>Kohanski</w:t>
            </w:r>
            <w:proofErr w:type="spellEnd"/>
            <w:r>
              <w:t xml:space="preserve"> says no, even if they fail to perform up to the standards required by the program.</w:t>
            </w:r>
          </w:p>
        </w:tc>
        <w:tc>
          <w:tcPr>
            <w:tcW w:w="3117" w:type="dxa"/>
          </w:tcPr>
          <w:p w14:paraId="6B65CC2C" w14:textId="448F46A6" w:rsidR="00EE41CE" w:rsidRDefault="00007820" w:rsidP="00B556A8">
            <w:r>
              <w:t>65:16 – 66-7</w:t>
            </w:r>
          </w:p>
        </w:tc>
      </w:tr>
      <w:tr w:rsidR="00EE41CE" w14:paraId="7A8415CE" w14:textId="77777777" w:rsidTr="00B556A8">
        <w:tc>
          <w:tcPr>
            <w:tcW w:w="3116" w:type="dxa"/>
          </w:tcPr>
          <w:p w14:paraId="06F276B5" w14:textId="77777777" w:rsidR="00EE41CE" w:rsidRDefault="00EE41CE" w:rsidP="00B556A8"/>
        </w:tc>
        <w:tc>
          <w:tcPr>
            <w:tcW w:w="3117" w:type="dxa"/>
          </w:tcPr>
          <w:p w14:paraId="1EC0B38E" w14:textId="219676A0" w:rsidR="00EE41CE" w:rsidRDefault="00007820" w:rsidP="00B556A8">
            <w:proofErr w:type="spellStart"/>
            <w:r>
              <w:t>Kohanski</w:t>
            </w:r>
            <w:proofErr w:type="spellEnd"/>
            <w:r>
              <w:t xml:space="preserve"> says tha</w:t>
            </w:r>
            <w:r w:rsidR="00D30BA1">
              <w:t xml:space="preserve">t there </w:t>
            </w:r>
            <w:proofErr w:type="gramStart"/>
            <w:r w:rsidR="00D30BA1">
              <w:t>is</w:t>
            </w:r>
            <w:proofErr w:type="gramEnd"/>
            <w:r w:rsidR="00D30BA1">
              <w:t xml:space="preserve"> no circumstances in grad school where a professor should fail a student, even if </w:t>
            </w:r>
            <w:r w:rsidR="00D30BA1">
              <w:lastRenderedPageBreak/>
              <w:t>the student is not meeting expectations.</w:t>
            </w:r>
          </w:p>
        </w:tc>
        <w:tc>
          <w:tcPr>
            <w:tcW w:w="3117" w:type="dxa"/>
          </w:tcPr>
          <w:p w14:paraId="61B51218" w14:textId="28AB5D9B" w:rsidR="00EE41CE" w:rsidRDefault="00D30BA1" w:rsidP="00B556A8">
            <w:r>
              <w:lastRenderedPageBreak/>
              <w:t>66:10-22</w:t>
            </w:r>
          </w:p>
        </w:tc>
      </w:tr>
      <w:tr w:rsidR="00EE41CE" w14:paraId="2A14F5B0" w14:textId="77777777" w:rsidTr="00B556A8">
        <w:tc>
          <w:tcPr>
            <w:tcW w:w="3116" w:type="dxa"/>
          </w:tcPr>
          <w:p w14:paraId="3845800A" w14:textId="77777777" w:rsidR="00EE41CE" w:rsidRDefault="00EE41CE" w:rsidP="00B556A8"/>
        </w:tc>
        <w:tc>
          <w:tcPr>
            <w:tcW w:w="3117" w:type="dxa"/>
          </w:tcPr>
          <w:p w14:paraId="5D4DD161" w14:textId="5C4CAAE8" w:rsidR="00EE41CE" w:rsidRDefault="00D30BA1" w:rsidP="00B556A8">
            <w:proofErr w:type="spellStart"/>
            <w:r>
              <w:t>Kohanski</w:t>
            </w:r>
            <w:proofErr w:type="spellEnd"/>
            <w:r>
              <w:t xml:space="preserve"> has no knowledge or memory that there was actually extortion involved but signed the letter. </w:t>
            </w:r>
          </w:p>
        </w:tc>
        <w:tc>
          <w:tcPr>
            <w:tcW w:w="3117" w:type="dxa"/>
          </w:tcPr>
          <w:p w14:paraId="0D665699" w14:textId="60D2ECA4" w:rsidR="00EE41CE" w:rsidRDefault="00D30BA1" w:rsidP="00B556A8">
            <w:r>
              <w:t>67:4-16</w:t>
            </w:r>
          </w:p>
        </w:tc>
      </w:tr>
      <w:tr w:rsidR="00EE41CE" w14:paraId="043B8FE3" w14:textId="77777777" w:rsidTr="00B556A8">
        <w:tc>
          <w:tcPr>
            <w:tcW w:w="3116" w:type="dxa"/>
          </w:tcPr>
          <w:p w14:paraId="01222D12" w14:textId="77777777" w:rsidR="00EE41CE" w:rsidRDefault="00EE41CE" w:rsidP="00B556A8"/>
        </w:tc>
        <w:tc>
          <w:tcPr>
            <w:tcW w:w="3117" w:type="dxa"/>
          </w:tcPr>
          <w:p w14:paraId="1727ADA2" w14:textId="3FE6C20C" w:rsidR="00EE41CE" w:rsidRDefault="00D30BA1" w:rsidP="00B556A8">
            <w:r>
              <w:t>Was Jackson’s extortion sexist?</w:t>
            </w:r>
          </w:p>
        </w:tc>
        <w:tc>
          <w:tcPr>
            <w:tcW w:w="3117" w:type="dxa"/>
          </w:tcPr>
          <w:p w14:paraId="683CEC21" w14:textId="5BB9DA91" w:rsidR="00EE41CE" w:rsidRDefault="00D30BA1" w:rsidP="00B556A8">
            <w:r>
              <w:t>67:17 – 68:14</w:t>
            </w:r>
          </w:p>
        </w:tc>
      </w:tr>
      <w:tr w:rsidR="00EE41CE" w14:paraId="5747F6EA" w14:textId="77777777" w:rsidTr="00B556A8">
        <w:tc>
          <w:tcPr>
            <w:tcW w:w="3116" w:type="dxa"/>
          </w:tcPr>
          <w:p w14:paraId="7C0BA3D2" w14:textId="77777777" w:rsidR="00EE41CE" w:rsidRDefault="00EE41CE" w:rsidP="00B556A8"/>
        </w:tc>
        <w:tc>
          <w:tcPr>
            <w:tcW w:w="3117" w:type="dxa"/>
          </w:tcPr>
          <w:p w14:paraId="65989D82" w14:textId="6FF702C7" w:rsidR="00EE41CE" w:rsidRDefault="00D30BA1" w:rsidP="00B556A8">
            <w:proofErr w:type="spellStart"/>
            <w:r>
              <w:t>Kohanski</w:t>
            </w:r>
            <w:proofErr w:type="spellEnd"/>
            <w:r>
              <w:t xml:space="preserve"> has no knowledge of women and people of color beyond Yiyi Gao that Jackson has shown “a pattern of harmful behaviors that disproportionately affected marginalized students.”</w:t>
            </w:r>
          </w:p>
        </w:tc>
        <w:tc>
          <w:tcPr>
            <w:tcW w:w="3117" w:type="dxa"/>
          </w:tcPr>
          <w:p w14:paraId="2ADF658F" w14:textId="26C1F886" w:rsidR="00EE41CE" w:rsidRDefault="00D30BA1" w:rsidP="00B556A8">
            <w:r>
              <w:t>68:15 – 69:3</w:t>
            </w:r>
          </w:p>
        </w:tc>
      </w:tr>
      <w:tr w:rsidR="00EE41CE" w14:paraId="1FBAA964" w14:textId="77777777" w:rsidTr="00B556A8">
        <w:tc>
          <w:tcPr>
            <w:tcW w:w="3116" w:type="dxa"/>
          </w:tcPr>
          <w:p w14:paraId="7ED85249" w14:textId="77777777" w:rsidR="00EE41CE" w:rsidRDefault="00EE41CE" w:rsidP="00B556A8"/>
        </w:tc>
        <w:tc>
          <w:tcPr>
            <w:tcW w:w="3117" w:type="dxa"/>
          </w:tcPr>
          <w:p w14:paraId="4BD9AE35" w14:textId="02CD698B" w:rsidR="00EE41CE" w:rsidRDefault="00D30BA1" w:rsidP="00B556A8">
            <w:proofErr w:type="spellStart"/>
            <w:r>
              <w:t>Kohanski’s</w:t>
            </w:r>
            <w:proofErr w:type="spellEnd"/>
            <w:r>
              <w:t xml:space="preserve"> knowledge that Jackson’s wife is Korean and opinion on if she is marginalized and how.</w:t>
            </w:r>
          </w:p>
        </w:tc>
        <w:tc>
          <w:tcPr>
            <w:tcW w:w="3117" w:type="dxa"/>
          </w:tcPr>
          <w:p w14:paraId="78FD1279" w14:textId="379EB05B" w:rsidR="00EE41CE" w:rsidRDefault="00D30BA1" w:rsidP="00B556A8">
            <w:r>
              <w:t>69:3 – 70: 9</w:t>
            </w:r>
          </w:p>
        </w:tc>
      </w:tr>
      <w:tr w:rsidR="00EE41CE" w14:paraId="1F603A85" w14:textId="77777777" w:rsidTr="00B556A8">
        <w:tc>
          <w:tcPr>
            <w:tcW w:w="3116" w:type="dxa"/>
          </w:tcPr>
          <w:p w14:paraId="5701175A" w14:textId="77777777" w:rsidR="00EE41CE" w:rsidRDefault="00EE41CE" w:rsidP="00B556A8"/>
        </w:tc>
        <w:tc>
          <w:tcPr>
            <w:tcW w:w="3117" w:type="dxa"/>
          </w:tcPr>
          <w:p w14:paraId="5FE9B01C" w14:textId="62681069" w:rsidR="00EE41CE" w:rsidRDefault="00D30BA1" w:rsidP="00B556A8">
            <w:r>
              <w:t xml:space="preserve">#5 “Problematic culture within the Division of MHTE.” </w:t>
            </w:r>
          </w:p>
        </w:tc>
        <w:tc>
          <w:tcPr>
            <w:tcW w:w="3117" w:type="dxa"/>
          </w:tcPr>
          <w:p w14:paraId="231608E7" w14:textId="3BD5F364" w:rsidR="00EE41CE" w:rsidRDefault="00FA54A7" w:rsidP="00B556A8">
            <w:r>
              <w:t>70:10 – 71:8</w:t>
            </w:r>
          </w:p>
        </w:tc>
      </w:tr>
      <w:tr w:rsidR="00EE41CE" w14:paraId="2F876BB1" w14:textId="77777777" w:rsidTr="00B556A8">
        <w:tc>
          <w:tcPr>
            <w:tcW w:w="3116" w:type="dxa"/>
          </w:tcPr>
          <w:p w14:paraId="49B1C76C" w14:textId="77777777" w:rsidR="00EE41CE" w:rsidRDefault="00EE41CE" w:rsidP="00B556A8"/>
        </w:tc>
        <w:tc>
          <w:tcPr>
            <w:tcW w:w="3117" w:type="dxa"/>
          </w:tcPr>
          <w:p w14:paraId="443C6289" w14:textId="680F8D5E" w:rsidR="00EE41CE" w:rsidRDefault="00FA54A7" w:rsidP="00B556A8">
            <w:r>
              <w:t xml:space="preserve">Asking </w:t>
            </w:r>
            <w:proofErr w:type="spellStart"/>
            <w:r>
              <w:t>Kohanski</w:t>
            </w:r>
            <w:proofErr w:type="spellEnd"/>
            <w:r>
              <w:t xml:space="preserve"> to describe DEI.  </w:t>
            </w:r>
            <w:proofErr w:type="spellStart"/>
            <w:r>
              <w:t>Kohanski</w:t>
            </w:r>
            <w:proofErr w:type="spellEnd"/>
            <w:r>
              <w:t xml:space="preserve"> states it is certain faculty members, including Dr. Jackson.</w:t>
            </w:r>
          </w:p>
        </w:tc>
        <w:tc>
          <w:tcPr>
            <w:tcW w:w="3117" w:type="dxa"/>
          </w:tcPr>
          <w:p w14:paraId="5B9CF59D" w14:textId="77BB793D" w:rsidR="00EE41CE" w:rsidRDefault="00FA54A7" w:rsidP="00B556A8">
            <w:r>
              <w:t>71:9 – 72:9</w:t>
            </w:r>
          </w:p>
        </w:tc>
      </w:tr>
      <w:tr w:rsidR="00EE41CE" w14:paraId="768A8BFC" w14:textId="77777777" w:rsidTr="00B556A8">
        <w:tc>
          <w:tcPr>
            <w:tcW w:w="3116" w:type="dxa"/>
          </w:tcPr>
          <w:p w14:paraId="793B2F1A" w14:textId="77777777" w:rsidR="00EE41CE" w:rsidRDefault="00EE41CE" w:rsidP="00B556A8"/>
        </w:tc>
        <w:tc>
          <w:tcPr>
            <w:tcW w:w="3117" w:type="dxa"/>
          </w:tcPr>
          <w:p w14:paraId="6E8AF56C" w14:textId="32CDEFD9" w:rsidR="00EE41CE" w:rsidRDefault="00FA54A7" w:rsidP="00B556A8">
            <w:r>
              <w:t xml:space="preserve">Asking </w:t>
            </w:r>
            <w:proofErr w:type="spellStart"/>
            <w:r>
              <w:t>Kohanski</w:t>
            </w:r>
            <w:proofErr w:type="spellEnd"/>
            <w:r>
              <w:t xml:space="preserve"> is describing himself as white and straight is monolithic.  </w:t>
            </w:r>
            <w:proofErr w:type="spellStart"/>
            <w:r>
              <w:t>Kohanski</w:t>
            </w:r>
            <w:proofErr w:type="spellEnd"/>
            <w:r>
              <w:t xml:space="preserve"> says you can use monolithic statements re people who have privilege. Doesn’t know if it applies to white, Jewish, straight men.</w:t>
            </w:r>
          </w:p>
        </w:tc>
        <w:tc>
          <w:tcPr>
            <w:tcW w:w="3117" w:type="dxa"/>
          </w:tcPr>
          <w:p w14:paraId="63F62F89" w14:textId="41C40324" w:rsidR="00EE41CE" w:rsidRDefault="00FA54A7" w:rsidP="00B556A8">
            <w:r>
              <w:t>72:10-20</w:t>
            </w:r>
          </w:p>
        </w:tc>
      </w:tr>
      <w:tr w:rsidR="00EE41CE" w14:paraId="31CEC12F" w14:textId="77777777" w:rsidTr="00B556A8">
        <w:tc>
          <w:tcPr>
            <w:tcW w:w="3116" w:type="dxa"/>
          </w:tcPr>
          <w:p w14:paraId="3C292DFF" w14:textId="77777777" w:rsidR="00EE41CE" w:rsidRDefault="00EE41CE" w:rsidP="00B556A8"/>
        </w:tc>
        <w:tc>
          <w:tcPr>
            <w:tcW w:w="3117" w:type="dxa"/>
          </w:tcPr>
          <w:p w14:paraId="12D65540" w14:textId="1814815C" w:rsidR="00EE41CE" w:rsidRDefault="00FA54A7" w:rsidP="00B556A8">
            <w:r>
              <w:t xml:space="preserve">Ad hoc panel report of UNT. Discussion of what report is and </w:t>
            </w:r>
            <w:proofErr w:type="spellStart"/>
            <w:r>
              <w:t>Kohanski’s</w:t>
            </w:r>
            <w:proofErr w:type="spellEnd"/>
            <w:r>
              <w:t xml:space="preserve"> understanding of it.</w:t>
            </w:r>
          </w:p>
        </w:tc>
        <w:tc>
          <w:tcPr>
            <w:tcW w:w="3117" w:type="dxa"/>
          </w:tcPr>
          <w:p w14:paraId="439121E9" w14:textId="37A16C8F" w:rsidR="00EE41CE" w:rsidRDefault="00FA54A7" w:rsidP="00B556A8">
            <w:r>
              <w:t>73:1-74:5</w:t>
            </w:r>
          </w:p>
        </w:tc>
      </w:tr>
      <w:tr w:rsidR="00EE41CE" w14:paraId="6CF5CB74" w14:textId="77777777" w:rsidTr="00B556A8">
        <w:tc>
          <w:tcPr>
            <w:tcW w:w="3116" w:type="dxa"/>
          </w:tcPr>
          <w:p w14:paraId="63D6043C" w14:textId="77777777" w:rsidR="00EE41CE" w:rsidRDefault="00EE41CE" w:rsidP="00B556A8"/>
        </w:tc>
        <w:tc>
          <w:tcPr>
            <w:tcW w:w="3117" w:type="dxa"/>
          </w:tcPr>
          <w:p w14:paraId="246D5BAC" w14:textId="4B53C73D" w:rsidR="00EE41CE" w:rsidRDefault="00FA54A7" w:rsidP="00B556A8">
            <w:r>
              <w:t xml:space="preserve">Differences between July 29, </w:t>
            </w:r>
            <w:proofErr w:type="gramStart"/>
            <w:r>
              <w:t>2020</w:t>
            </w:r>
            <w:proofErr w:type="gramEnd"/>
            <w:r>
              <w:t xml:space="preserve"> letter and November 25, 2020 circulated letter. </w:t>
            </w:r>
          </w:p>
        </w:tc>
        <w:tc>
          <w:tcPr>
            <w:tcW w:w="3117" w:type="dxa"/>
          </w:tcPr>
          <w:p w14:paraId="1262A237" w14:textId="16DEE2ED" w:rsidR="00EE41CE" w:rsidRDefault="00FA54A7" w:rsidP="00B556A8">
            <w:r>
              <w:t>74:6</w:t>
            </w:r>
            <w:r w:rsidR="005946BD">
              <w:t xml:space="preserve"> – 75:16</w:t>
            </w:r>
          </w:p>
        </w:tc>
      </w:tr>
      <w:tr w:rsidR="00EE41CE" w14:paraId="72A00892" w14:textId="77777777" w:rsidTr="0044018F">
        <w:tc>
          <w:tcPr>
            <w:tcW w:w="3116" w:type="dxa"/>
          </w:tcPr>
          <w:p w14:paraId="6842428E" w14:textId="4E6E6B40" w:rsidR="00EE41CE" w:rsidRDefault="00EE41CE"/>
        </w:tc>
        <w:tc>
          <w:tcPr>
            <w:tcW w:w="3117" w:type="dxa"/>
          </w:tcPr>
          <w:p w14:paraId="51002E88" w14:textId="3EDA13BA" w:rsidR="00EE41CE" w:rsidRDefault="005946BD">
            <w:r>
              <w:t xml:space="preserve">Who authored the July 29, </w:t>
            </w:r>
            <w:proofErr w:type="gramStart"/>
            <w:r>
              <w:t>2020</w:t>
            </w:r>
            <w:proofErr w:type="gramEnd"/>
            <w:r>
              <w:t xml:space="preserve"> statement?</w:t>
            </w:r>
          </w:p>
        </w:tc>
        <w:tc>
          <w:tcPr>
            <w:tcW w:w="3117" w:type="dxa"/>
          </w:tcPr>
          <w:p w14:paraId="0F05F54B" w14:textId="1D8F4EE9" w:rsidR="00EE41CE" w:rsidRDefault="005946BD">
            <w:r>
              <w:t>75:20 – 76:24</w:t>
            </w:r>
          </w:p>
        </w:tc>
      </w:tr>
      <w:tr w:rsidR="005946BD" w14:paraId="589374CE" w14:textId="77777777" w:rsidTr="0044018F">
        <w:tc>
          <w:tcPr>
            <w:tcW w:w="3116" w:type="dxa"/>
          </w:tcPr>
          <w:p w14:paraId="0501597B" w14:textId="1059DE81" w:rsidR="005946BD" w:rsidRDefault="005946BD"/>
        </w:tc>
        <w:tc>
          <w:tcPr>
            <w:tcW w:w="3117" w:type="dxa"/>
          </w:tcPr>
          <w:p w14:paraId="4FB06A02" w14:textId="77777777" w:rsidR="001334D4" w:rsidRDefault="001334D4" w:rsidP="001334D4">
            <w:r>
              <w:t xml:space="preserve">#3 “Hold accountable every person responsible for the direction of the publication.” </w:t>
            </w:r>
          </w:p>
          <w:p w14:paraId="1FD283AD" w14:textId="10BF9833" w:rsidR="001334D4" w:rsidRDefault="001334D4" w:rsidP="001334D4">
            <w:r>
              <w:t>“Specifically, the actions of Dr. Jackson…”</w:t>
            </w:r>
          </w:p>
        </w:tc>
        <w:tc>
          <w:tcPr>
            <w:tcW w:w="3117" w:type="dxa"/>
          </w:tcPr>
          <w:p w14:paraId="6A123BF7" w14:textId="2C828E5D" w:rsidR="005946BD" w:rsidRDefault="001334D4">
            <w:r>
              <w:t>76:25 – 77: 15</w:t>
            </w:r>
          </w:p>
        </w:tc>
      </w:tr>
      <w:tr w:rsidR="001334D4" w14:paraId="141A24E0" w14:textId="77777777" w:rsidTr="00B556A8">
        <w:tc>
          <w:tcPr>
            <w:tcW w:w="3116" w:type="dxa"/>
          </w:tcPr>
          <w:p w14:paraId="3C9CA10C" w14:textId="77777777" w:rsidR="001334D4" w:rsidRDefault="001334D4" w:rsidP="00B556A8"/>
        </w:tc>
        <w:tc>
          <w:tcPr>
            <w:tcW w:w="3117" w:type="dxa"/>
          </w:tcPr>
          <w:p w14:paraId="5FDB25F8" w14:textId="54FA1898" w:rsidR="001334D4" w:rsidRDefault="001334D4" w:rsidP="00B556A8">
            <w:r>
              <w:t>Letter “gratefully acknowledging” DEI, definitions, examples.</w:t>
            </w:r>
          </w:p>
        </w:tc>
        <w:tc>
          <w:tcPr>
            <w:tcW w:w="3117" w:type="dxa"/>
          </w:tcPr>
          <w:p w14:paraId="633E56A8" w14:textId="547D1E04" w:rsidR="001334D4" w:rsidRDefault="001334D4" w:rsidP="00B556A8">
            <w:r>
              <w:t>77:16 – 79:19</w:t>
            </w:r>
          </w:p>
          <w:p w14:paraId="754C8869" w14:textId="6A938415" w:rsidR="001334D4" w:rsidRDefault="001334D4" w:rsidP="00B556A8"/>
        </w:tc>
      </w:tr>
      <w:tr w:rsidR="001334D4" w14:paraId="4C51ADF1" w14:textId="77777777" w:rsidTr="00B556A8">
        <w:tc>
          <w:tcPr>
            <w:tcW w:w="3116" w:type="dxa"/>
          </w:tcPr>
          <w:p w14:paraId="4A055B19" w14:textId="77777777" w:rsidR="001334D4" w:rsidRDefault="001334D4" w:rsidP="00B556A8"/>
        </w:tc>
        <w:tc>
          <w:tcPr>
            <w:tcW w:w="3117" w:type="dxa"/>
          </w:tcPr>
          <w:p w14:paraId="4A84B0FD" w14:textId="20B5C2E4" w:rsidR="001334D4" w:rsidRDefault="001334D4" w:rsidP="00B556A8">
            <w:r>
              <w:t xml:space="preserve">Professor Jackson preventing DEI in music in the division due to </w:t>
            </w:r>
            <w:proofErr w:type="spellStart"/>
            <w:r>
              <w:t>Schenkerian</w:t>
            </w:r>
            <w:proofErr w:type="spellEnd"/>
            <w:r>
              <w:t xml:space="preserve"> analysis being “exclusive”. </w:t>
            </w:r>
          </w:p>
        </w:tc>
        <w:tc>
          <w:tcPr>
            <w:tcW w:w="3117" w:type="dxa"/>
          </w:tcPr>
          <w:p w14:paraId="5F86AAC2" w14:textId="7C1ECF23" w:rsidR="001334D4" w:rsidRDefault="001334D4" w:rsidP="00B556A8">
            <w:r>
              <w:t>79:20 – 80:17</w:t>
            </w:r>
          </w:p>
        </w:tc>
      </w:tr>
      <w:tr w:rsidR="001334D4" w14:paraId="35A200FC" w14:textId="77777777" w:rsidTr="00B556A8">
        <w:tc>
          <w:tcPr>
            <w:tcW w:w="3116" w:type="dxa"/>
          </w:tcPr>
          <w:p w14:paraId="748ACBBE" w14:textId="77777777" w:rsidR="001334D4" w:rsidRDefault="001334D4" w:rsidP="00B556A8"/>
        </w:tc>
        <w:tc>
          <w:tcPr>
            <w:tcW w:w="3117" w:type="dxa"/>
          </w:tcPr>
          <w:p w14:paraId="0BB72606" w14:textId="6A61CAFE" w:rsidR="001334D4" w:rsidRDefault="001334D4" w:rsidP="00B556A8">
            <w:proofErr w:type="spellStart"/>
            <w:r>
              <w:t>Kohanski’s</w:t>
            </w:r>
            <w:proofErr w:type="spellEnd"/>
            <w:r>
              <w:t xml:space="preserve"> understanding of </w:t>
            </w:r>
            <w:proofErr w:type="spellStart"/>
            <w:r>
              <w:t>Schenkerian</w:t>
            </w:r>
            <w:proofErr w:type="spellEnd"/>
            <w:r>
              <w:t xml:space="preserve"> analysis</w:t>
            </w:r>
            <w:r w:rsidR="000C74D3">
              <w:t xml:space="preserve"> and it’s lack of inclusivity. </w:t>
            </w:r>
          </w:p>
        </w:tc>
        <w:tc>
          <w:tcPr>
            <w:tcW w:w="3117" w:type="dxa"/>
          </w:tcPr>
          <w:p w14:paraId="0C3A5A2C" w14:textId="53AFB9A1" w:rsidR="001334D4" w:rsidRDefault="000C74D3" w:rsidP="00B556A8">
            <w:r>
              <w:t>80:18 – 85:15</w:t>
            </w:r>
          </w:p>
        </w:tc>
      </w:tr>
      <w:tr w:rsidR="001334D4" w14:paraId="47D64060" w14:textId="77777777" w:rsidTr="00B556A8">
        <w:tc>
          <w:tcPr>
            <w:tcW w:w="3116" w:type="dxa"/>
          </w:tcPr>
          <w:p w14:paraId="230C8376" w14:textId="77777777" w:rsidR="001334D4" w:rsidRDefault="001334D4" w:rsidP="00B556A8"/>
        </w:tc>
        <w:tc>
          <w:tcPr>
            <w:tcW w:w="3117" w:type="dxa"/>
          </w:tcPr>
          <w:p w14:paraId="321C1D62" w14:textId="3D69C988" w:rsidR="001334D4" w:rsidRDefault="000C74D3" w:rsidP="00B556A8">
            <w:r>
              <w:t xml:space="preserve">DEI programs in the MHTE division. </w:t>
            </w:r>
          </w:p>
        </w:tc>
        <w:tc>
          <w:tcPr>
            <w:tcW w:w="3117" w:type="dxa"/>
          </w:tcPr>
          <w:p w14:paraId="7BA0186E" w14:textId="22FB6B34" w:rsidR="001334D4" w:rsidRDefault="000C74D3" w:rsidP="00B556A8">
            <w:r>
              <w:t>86:16 – 87:4</w:t>
            </w:r>
          </w:p>
        </w:tc>
      </w:tr>
      <w:tr w:rsidR="001334D4" w14:paraId="37DAF799" w14:textId="77777777" w:rsidTr="00B556A8">
        <w:tc>
          <w:tcPr>
            <w:tcW w:w="3116" w:type="dxa"/>
          </w:tcPr>
          <w:p w14:paraId="01708BDB" w14:textId="77777777" w:rsidR="001334D4" w:rsidRDefault="001334D4" w:rsidP="00B556A8"/>
        </w:tc>
        <w:tc>
          <w:tcPr>
            <w:tcW w:w="3117" w:type="dxa"/>
          </w:tcPr>
          <w:p w14:paraId="55B1F007" w14:textId="28ECBF2E" w:rsidR="001334D4" w:rsidRDefault="000C74D3" w:rsidP="00B556A8">
            <w:proofErr w:type="spellStart"/>
            <w:r>
              <w:t>Kohankski</w:t>
            </w:r>
            <w:proofErr w:type="spellEnd"/>
            <w:r>
              <w:t xml:space="preserve"> felt faculty who could most benefit from DEI training weren’t there, including Dr. Jackson.</w:t>
            </w:r>
          </w:p>
        </w:tc>
        <w:tc>
          <w:tcPr>
            <w:tcW w:w="3117" w:type="dxa"/>
          </w:tcPr>
          <w:p w14:paraId="26522179" w14:textId="1AE900D6" w:rsidR="001334D4" w:rsidRDefault="000C74D3" w:rsidP="00B556A8">
            <w:r>
              <w:t>87:5 – 88:10</w:t>
            </w:r>
          </w:p>
        </w:tc>
      </w:tr>
      <w:tr w:rsidR="001334D4" w14:paraId="09A60B58" w14:textId="77777777" w:rsidTr="00B556A8">
        <w:tc>
          <w:tcPr>
            <w:tcW w:w="3116" w:type="dxa"/>
          </w:tcPr>
          <w:p w14:paraId="66597DD9" w14:textId="77777777" w:rsidR="001334D4" w:rsidRDefault="001334D4" w:rsidP="00B556A8"/>
        </w:tc>
        <w:tc>
          <w:tcPr>
            <w:tcW w:w="3117" w:type="dxa"/>
          </w:tcPr>
          <w:p w14:paraId="123DE2CC" w14:textId="416250AB" w:rsidR="001334D4" w:rsidRDefault="000C74D3" w:rsidP="00B556A8">
            <w:proofErr w:type="spellStart"/>
            <w:proofErr w:type="gramStart"/>
            <w:r>
              <w:t>Kohanski’s</w:t>
            </w:r>
            <w:proofErr w:type="spellEnd"/>
            <w:r>
              <w:t xml:space="preserve"> recollection of the DEI workshops</w:t>
            </w:r>
            <w:r w:rsidR="001E3C92">
              <w:t xml:space="preserve"> and materials,</w:t>
            </w:r>
            <w:proofErr w:type="gramEnd"/>
            <w:r w:rsidR="001E3C92">
              <w:t xml:space="preserve"> </w:t>
            </w:r>
            <w:r>
              <w:t xml:space="preserve">found them “underwhelming”. </w:t>
            </w:r>
          </w:p>
        </w:tc>
        <w:tc>
          <w:tcPr>
            <w:tcW w:w="3117" w:type="dxa"/>
          </w:tcPr>
          <w:p w14:paraId="6B327457" w14:textId="115D05C2" w:rsidR="001334D4" w:rsidRDefault="001E3C92" w:rsidP="00B556A8">
            <w:r>
              <w:t>88:11 – 90:21</w:t>
            </w:r>
          </w:p>
        </w:tc>
      </w:tr>
      <w:tr w:rsidR="001334D4" w14:paraId="6E2226E9" w14:textId="77777777" w:rsidTr="00B556A8">
        <w:tc>
          <w:tcPr>
            <w:tcW w:w="3116" w:type="dxa"/>
          </w:tcPr>
          <w:p w14:paraId="161EE374" w14:textId="77777777" w:rsidR="001334D4" w:rsidRDefault="001334D4" w:rsidP="00B556A8"/>
        </w:tc>
        <w:tc>
          <w:tcPr>
            <w:tcW w:w="3117" w:type="dxa"/>
          </w:tcPr>
          <w:p w14:paraId="3A08A99E" w14:textId="316BA83F" w:rsidR="001334D4" w:rsidRDefault="001E3C92" w:rsidP="00B556A8">
            <w:r>
              <w:t>Discussion re climate survey.</w:t>
            </w:r>
          </w:p>
        </w:tc>
        <w:tc>
          <w:tcPr>
            <w:tcW w:w="3117" w:type="dxa"/>
          </w:tcPr>
          <w:p w14:paraId="795FE005" w14:textId="40C9385E" w:rsidR="001334D4" w:rsidRDefault="001E3C92" w:rsidP="00B556A8">
            <w:r>
              <w:t>90:22 – 92:2</w:t>
            </w:r>
          </w:p>
        </w:tc>
      </w:tr>
      <w:tr w:rsidR="001334D4" w14:paraId="139295D3" w14:textId="77777777" w:rsidTr="00B556A8">
        <w:tc>
          <w:tcPr>
            <w:tcW w:w="3116" w:type="dxa"/>
          </w:tcPr>
          <w:p w14:paraId="2F3BA5AB" w14:textId="77777777" w:rsidR="001334D4" w:rsidRDefault="001334D4" w:rsidP="00B556A8"/>
        </w:tc>
        <w:tc>
          <w:tcPr>
            <w:tcW w:w="3117" w:type="dxa"/>
          </w:tcPr>
          <w:p w14:paraId="1E4F4FB0" w14:textId="36F78078" w:rsidR="001334D4" w:rsidRDefault="001E3C92" w:rsidP="00B556A8">
            <w:r>
              <w:t>Discussion re DEI reading group.</w:t>
            </w:r>
          </w:p>
        </w:tc>
        <w:tc>
          <w:tcPr>
            <w:tcW w:w="3117" w:type="dxa"/>
          </w:tcPr>
          <w:p w14:paraId="63B0E01D" w14:textId="5E6D71C4" w:rsidR="001334D4" w:rsidRDefault="001E3C92" w:rsidP="00B556A8">
            <w:r>
              <w:t>92:3 – 93:12</w:t>
            </w:r>
          </w:p>
        </w:tc>
      </w:tr>
      <w:tr w:rsidR="001334D4" w14:paraId="40CC01EB" w14:textId="77777777" w:rsidTr="00B556A8">
        <w:tc>
          <w:tcPr>
            <w:tcW w:w="3116" w:type="dxa"/>
          </w:tcPr>
          <w:p w14:paraId="798A7898" w14:textId="77777777" w:rsidR="001334D4" w:rsidRDefault="001334D4" w:rsidP="00B556A8"/>
        </w:tc>
        <w:tc>
          <w:tcPr>
            <w:tcW w:w="3117" w:type="dxa"/>
          </w:tcPr>
          <w:p w14:paraId="50416138" w14:textId="3E4A8CC3" w:rsidR="001334D4" w:rsidRDefault="001E3C92" w:rsidP="00B556A8">
            <w:r>
              <w:t>List of signatures solicited for Exhibit 2.</w:t>
            </w:r>
          </w:p>
        </w:tc>
        <w:tc>
          <w:tcPr>
            <w:tcW w:w="3117" w:type="dxa"/>
          </w:tcPr>
          <w:p w14:paraId="773B80E0" w14:textId="159A8506" w:rsidR="001334D4" w:rsidRDefault="001E3C92" w:rsidP="00B556A8">
            <w:r>
              <w:t>93:13 – 93:22</w:t>
            </w:r>
          </w:p>
        </w:tc>
      </w:tr>
    </w:tbl>
    <w:p w14:paraId="15CD3E86" w14:textId="32B54830" w:rsidR="00DA3040" w:rsidRDefault="00DA3040"/>
    <w:sectPr w:rsidR="00DA3040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DBB30" w14:textId="77777777" w:rsidR="0020507D" w:rsidRDefault="0020507D" w:rsidP="001E3C92">
      <w:pPr>
        <w:spacing w:after="0" w:line="240" w:lineRule="auto"/>
      </w:pPr>
      <w:r>
        <w:separator/>
      </w:r>
    </w:p>
  </w:endnote>
  <w:endnote w:type="continuationSeparator" w:id="0">
    <w:p w14:paraId="1089E20A" w14:textId="77777777" w:rsidR="0020507D" w:rsidRDefault="0020507D" w:rsidP="001E3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80736361"/>
      <w:docPartObj>
        <w:docPartGallery w:val="Page Numbers (Bottom of Page)"/>
        <w:docPartUnique/>
      </w:docPartObj>
    </w:sdtPr>
    <w:sdtContent>
      <w:p w14:paraId="45EE4A03" w14:textId="72EA736C" w:rsidR="001E3C92" w:rsidRDefault="001E3C92" w:rsidP="00ED3B7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8509197" w14:textId="77777777" w:rsidR="001E3C92" w:rsidRDefault="001E3C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670765840"/>
      <w:docPartObj>
        <w:docPartGallery w:val="Page Numbers (Bottom of Page)"/>
        <w:docPartUnique/>
      </w:docPartObj>
    </w:sdtPr>
    <w:sdtContent>
      <w:p w14:paraId="5E67436A" w14:textId="7C9E1434" w:rsidR="001E3C92" w:rsidRDefault="001E3C92" w:rsidP="00ED3B7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CD33A10" w14:textId="77777777" w:rsidR="001E3C92" w:rsidRDefault="001E3C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79D6B" w14:textId="77777777" w:rsidR="0020507D" w:rsidRDefault="0020507D" w:rsidP="001E3C92">
      <w:pPr>
        <w:spacing w:after="0" w:line="240" w:lineRule="auto"/>
      </w:pPr>
      <w:r>
        <w:separator/>
      </w:r>
    </w:p>
  </w:footnote>
  <w:footnote w:type="continuationSeparator" w:id="0">
    <w:p w14:paraId="7DC80BF1" w14:textId="77777777" w:rsidR="0020507D" w:rsidRDefault="0020507D" w:rsidP="001E3C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60367A"/>
    <w:multiLevelType w:val="hybridMultilevel"/>
    <w:tmpl w:val="BDE4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7269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18F"/>
    <w:rsid w:val="00007820"/>
    <w:rsid w:val="000C74D3"/>
    <w:rsid w:val="001334D4"/>
    <w:rsid w:val="001C0F52"/>
    <w:rsid w:val="001E3C92"/>
    <w:rsid w:val="0020507D"/>
    <w:rsid w:val="00235814"/>
    <w:rsid w:val="00236452"/>
    <w:rsid w:val="002B6590"/>
    <w:rsid w:val="00385C89"/>
    <w:rsid w:val="00386F86"/>
    <w:rsid w:val="0044018F"/>
    <w:rsid w:val="00536DCF"/>
    <w:rsid w:val="005946BD"/>
    <w:rsid w:val="005E0DA3"/>
    <w:rsid w:val="006B12C5"/>
    <w:rsid w:val="006B272C"/>
    <w:rsid w:val="0083192C"/>
    <w:rsid w:val="0083426F"/>
    <w:rsid w:val="00A02757"/>
    <w:rsid w:val="00A81AC7"/>
    <w:rsid w:val="00D30BA1"/>
    <w:rsid w:val="00DA3040"/>
    <w:rsid w:val="00E63950"/>
    <w:rsid w:val="00E94EC2"/>
    <w:rsid w:val="00EE41CE"/>
    <w:rsid w:val="00F1101D"/>
    <w:rsid w:val="00FA519C"/>
    <w:rsid w:val="00FA5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78816A"/>
  <w15:chartTrackingRefBased/>
  <w15:docId w15:val="{4AFC7DA7-F6D6-4349-ADA7-B6432DD87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01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01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01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01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01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01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01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01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01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01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01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01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018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018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4018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4018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4018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4018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401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401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01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401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401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4018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4018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4018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401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4018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4018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40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1E3C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3C92"/>
  </w:style>
  <w:style w:type="character" w:styleId="PageNumber">
    <w:name w:val="page number"/>
    <w:basedOn w:val="DefaultParagraphFont"/>
    <w:uiPriority w:val="99"/>
    <w:semiHidden/>
    <w:unhideWhenUsed/>
    <w:rsid w:val="001E3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6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 Morley</dc:creator>
  <cp:keywords/>
  <dc:description/>
  <cp:lastModifiedBy>Meg Morley</cp:lastModifiedBy>
  <cp:revision>1</cp:revision>
  <cp:lastPrinted>2025-02-19T21:25:00Z</cp:lastPrinted>
  <dcterms:created xsi:type="dcterms:W3CDTF">2025-02-19T18:57:00Z</dcterms:created>
  <dcterms:modified xsi:type="dcterms:W3CDTF">2025-02-20T16:49:00Z</dcterms:modified>
</cp:coreProperties>
</file>